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459A3" w:rsidRPr="0025081D" w:rsidP="006459A3" w14:paraId="0128DD21" w14:textId="5886EF02">
      <w:pPr>
        <w:jc w:val="center"/>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pPr>
      <w:r w:rsidRP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 xml:space="preserve">Week </w:t>
      </w:r>
      <w:r w:rsidRPr="0025081D" w:rsidR="004154C8">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3</w:t>
      </w:r>
      <w:r w:rsidRP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 xml:space="preserve"> Final Research Paper Outline Worksheet</w:t>
      </w:r>
    </w:p>
    <w:p w:rsidR="004154C8" w:rsidRPr="0025081D" w:rsidP="004154C8" w14:paraId="4C0D97BC" w14:textId="12F20CC7">
      <w:pPr>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pPr>
      <w:r w:rsidRP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REMINDER:  Please be sure you have critically read the instructions for BOTH the Week 3 Final Paper Outline Assignment</w:t>
      </w:r>
      <w:r w:rsidRPr="0025081D" w:rsid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 and</w:t>
      </w:r>
      <w:r w:rsidRP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 xml:space="preserve"> the Week 5 Final Research Paper.</w:t>
      </w:r>
    </w:p>
    <w:p w:rsidR="006459A3" w:rsidRPr="0025081D" w:rsidP="0025081D" w14:paraId="7BCD3545" w14:textId="22F86F4B">
      <w:pPr>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pPr>
    </w:p>
    <w:p w:rsidR="0025081D" w:rsidRPr="0025081D" w:rsidP="0025081D" w14:paraId="2FD25C60" w14:textId="6D5546CD">
      <w:pPr>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pPr>
      <w:r w:rsidRPr="0025081D">
        <w:rPr>
          <w:rFonts w:ascii="Arial" w:hAnsi="Arial" w:cs="Arial"/>
          <w:b/>
          <w:sz w:val="24"/>
          <w:szCs w:val="24"/>
          <w14:shadow w14:blurRad="38100" w14:dist="19050" w14:dir="2700000" w14:sx="100000" w14:sy="100000" w14:kx="0" w14:ky="0" w14:algn="tl">
            <w14:schemeClr w14:val="dk1">
              <w14:alpha w14:val="60000"/>
            </w14:schemeClr>
          </w14:shadow>
          <w14:textOutline>
            <w14:noFill/>
            <w14:round/>
          </w14:textOutline>
        </w:rPr>
        <w:t xml:space="preserve">Final Paper Outline </w:t>
      </w:r>
    </w:p>
    <w:p w:rsidR="006B3396" w:rsidP="006B3396" w14:paraId="243F3F2D" w14:textId="3D15CACC">
      <w:pPr>
        <w:pStyle w:val="ListParagraph"/>
        <w:tabs>
          <w:tab w:val="left" w:pos="1530"/>
        </w:tabs>
        <w:rPr>
          <w:rFonts w:cs="Arial"/>
          <w:szCs w:val="24"/>
        </w:rPr>
      </w:pPr>
      <w:r>
        <w:rPr>
          <w:rFonts w:cs="Arial"/>
          <w:szCs w:val="24"/>
        </w:rPr>
        <w:t>.</w:t>
      </w:r>
      <w:r w:rsidRPr="006B3396">
        <w:rPr>
          <w:rFonts w:cs="Arial"/>
          <w:szCs w:val="24"/>
        </w:rPr>
        <w:t xml:space="preserve"> </w:t>
      </w:r>
      <w:r>
        <w:rPr>
          <w:rFonts w:cs="Arial"/>
          <w:szCs w:val="24"/>
        </w:rPr>
        <w:t>The gun control act of 1968 was influenced by the ability to mail order firearms, assassinations, and even race riots.  The act gave way to governmental involvement and agencies needing to enforce laws that some argued was against the second amendment of the constitution.  Public opinion varied and various groups such as the NRA played a role in the gun control acts birth, and as time continued even today, it is still the hot button of many political elections and parties.
</w:t>
      </w:r>
    </w:p>
    <w:p w:rsidR="006B3396" w:rsidP="006B3396" w14:paraId="296768E8" w14:textId="77777777">
      <w:pPr>
        <w:pStyle w:val="ListParagraph"/>
        <w:tabs>
          <w:tab w:val="left" w:pos="1530"/>
        </w:tabs>
        <w:rPr>
          <w:rFonts w:cs="Arial"/>
          <w:szCs w:val="24"/>
        </w:rPr>
      </w:pPr>
    </w:p>
    <w:p w:rsidR="006B3396" w:rsidRPr="008E61DF" w:rsidP="006B3396" w14:paraId="7F3051A9" w14:textId="77777777">
      <w:pPr>
        <w:pStyle w:val="ListParagraph"/>
        <w:numPr>
          <w:ilvl w:val="0"/>
          <w:numId w:val="11"/>
        </w:numPr>
        <w:tabs>
          <w:tab w:val="left" w:pos="1530"/>
        </w:tabs>
        <w:rPr>
          <w:rFonts w:cs="Arial"/>
          <w:szCs w:val="24"/>
        </w:rPr>
      </w:pPr>
      <w:r w:rsidRPr="0025081D">
        <w:rPr>
          <w:rFonts w:cs="Arial"/>
          <w:b/>
          <w:szCs w:val="24"/>
          <w14:shadow w14:blurRad="38100" w14:dist="19050" w14:dir="2700000" w14:sx="100000" w14:sy="100000" w14:kx="0" w14:ky="0" w14:algn="tl">
            <w14:schemeClr w14:val="dk1">
              <w14:alpha w14:val="60000"/>
            </w14:schemeClr>
          </w14:shadow>
          <w14:textOutline>
            <w14:noFill/>
            <w14:round/>
          </w14:textOutline>
        </w:rPr>
        <w:t>Thesis Statement</w:t>
      </w:r>
    </w:p>
    <w:p w:rsidR="006B3396" w:rsidRPr="008E61DF" w:rsidP="006B3396" w14:paraId="7BB9C83C" w14:textId="77777777">
      <w:pPr>
        <w:tabs>
          <w:tab w:val="left" w:pos="1530"/>
        </w:tabs>
        <w:rPr>
          <w:rFonts w:cs="Arial"/>
          <w:szCs w:val="24"/>
        </w:rPr>
      </w:pPr>
    </w:p>
    <w:p w:rsidR="006B3396" w:rsidP="006B3396" w14:paraId="2143B224" w14:textId="77777777">
      <w:pPr>
        <w:pStyle w:val="ListParagraph"/>
        <w:numPr>
          <w:ilvl w:val="0"/>
          <w:numId w:val="11"/>
        </w:numPr>
      </w:pPr>
      <w:r>
        <w:t>The gun control act of 1968 was an influential part of history but also, a political election topic, the constitutional basis for future gun laws, and to some a needed enforcement for public safety.
</w:t>
      </w:r>
    </w:p>
    <w:p w:rsidR="0025081D" w:rsidRPr="0025081D" w:rsidP="0025081D" w14:paraId="140D22DA" w14:textId="5AF84330">
      <w:pPr>
        <w:pStyle w:val="ListParagraph"/>
        <w:rPr>
          <w:rFonts w:cs="Arial"/>
          <w:szCs w:val="24"/>
        </w:rPr>
      </w:pPr>
    </w:p>
    <w:p w:rsidR="006459A3" w:rsidRPr="0025081D" w:rsidP="0025081D" w14:paraId="6B464DDB" w14:textId="6E591C88">
      <w:pPr>
        <w:pStyle w:val="ListParagraph"/>
        <w:rPr>
          <w:rFonts w:cs="Arial"/>
          <w:szCs w:val="24"/>
          <w14:shadow w14:blurRad="38100" w14:dist="19050" w14:dir="2700000" w14:sx="100000" w14:sy="100000" w14:kx="0" w14:ky="0" w14:algn="tl">
            <w14:schemeClr w14:val="dk1">
              <w14:alpha w14:val="60000"/>
            </w14:schemeClr>
          </w14:shadow>
          <w14:textOutline>
            <w14:noFill/>
            <w14:round/>
          </w14:textOutline>
        </w:rPr>
      </w:pPr>
      <w:r w:rsidRPr="0025081D">
        <w:rPr>
          <w:rFonts w:cs="Arial"/>
          <w:szCs w:val="24"/>
          <w14:shadow w14:blurRad="38100" w14:dist="19050" w14:dir="2700000" w14:sx="100000" w14:sy="100000" w14:kx="0" w14:ky="0" w14:algn="tl">
            <w14:schemeClr w14:val="dk1">
              <w14:alpha w14:val="60000"/>
            </w14:schemeClr>
          </w14:shadow>
          <w14:textOutline>
            <w14:noFill/>
            <w14:round/>
          </w14:textOutline>
        </w:rPr>
        <w:tab/>
      </w:r>
    </w:p>
    <w:p w:rsidR="006459A3" w:rsidP="0025081D" w14:paraId="0325A873" w14:textId="7BB664F8">
      <w:pPr>
        <w:pStyle w:val="ListParagraph"/>
        <w:numPr>
          <w:ilvl w:val="0"/>
          <w:numId w:val="11"/>
        </w:numPr>
        <w:tabs>
          <w:tab w:val="left" w:pos="1530"/>
        </w:tabs>
        <w:rPr>
          <w:rFonts w:cs="Arial"/>
          <w:b/>
          <w:szCs w:val="24"/>
        </w:rPr>
      </w:pPr>
      <w:r>
        <w:rPr>
          <w:rFonts w:cs="Arial"/>
          <w:b/>
          <w:szCs w:val="24"/>
        </w:rPr>
        <w:t xml:space="preserve">The History Behind the </w:t>
      </w:r>
      <w:r w:rsidR="008F3437">
        <w:rPr>
          <w:rFonts w:cs="Arial"/>
          <w:b/>
          <w:szCs w:val="24"/>
        </w:rPr>
        <w:t>Gun Control Act of 1968</w:t>
      </w:r>
    </w:p>
    <w:p w:rsidR="0025081D" w:rsidRPr="0025081D" w:rsidP="0025081D" w14:paraId="2EEC8036" w14:textId="77777777">
      <w:pPr>
        <w:pStyle w:val="ListParagraph"/>
        <w:tabs>
          <w:tab w:val="left" w:pos="1530"/>
        </w:tabs>
        <w:rPr>
          <w:rFonts w:cs="Arial"/>
          <w:b/>
          <w:szCs w:val="24"/>
        </w:rPr>
      </w:pPr>
    </w:p>
    <w:p w:rsidR="006459A3" w:rsidRPr="0025081D" w:rsidP="006459A3" w14:paraId="56BBE7D1" w14:textId="4802C54C">
      <w:pPr>
        <w:pStyle w:val="ListParagraph"/>
        <w:tabs>
          <w:tab w:val="left" w:pos="1530"/>
        </w:tabs>
        <w:rPr>
          <w:rFonts w:cs="Arial"/>
          <w:szCs w:val="24"/>
        </w:rPr>
      </w:pPr>
      <w:r>
        <w:rPr>
          <w:rFonts w:cs="Arial"/>
          <w:szCs w:val="24"/>
        </w:rPr>
        <w:t xml:space="preserve">In the beginning stages of the gun control act of 1968, many large-scale incidents happened to spark its beginning.  </w:t>
      </w:r>
      <w:r>
        <w:rPr>
          <w:rFonts w:cs="Arial"/>
          <w:szCs w:val="24"/>
        </w:rPr>
        <w:t>Kopel</w:t>
      </w:r>
      <w:r>
        <w:rPr>
          <w:rFonts w:cs="Arial"/>
          <w:szCs w:val="24"/>
        </w:rPr>
        <w:t xml:space="preserve"> (2012) tells us that some states started to act and enact on bans on mass armed parades without a permit. We also learn from </w:t>
      </w:r>
      <w:r>
        <w:rPr>
          <w:rFonts w:cs="Arial"/>
          <w:szCs w:val="24"/>
        </w:rPr>
        <w:t>Kopel</w:t>
      </w:r>
      <w:r>
        <w:rPr>
          <w:rFonts w:cs="Arial"/>
          <w:szCs w:val="24"/>
        </w:rPr>
        <w:t xml:space="preserve"> (2012) that in the twentieth century there were many that were worried about organized labor groups, immigrants, </w:t>
      </w:r>
      <w:r w:rsidR="008548BC">
        <w:rPr>
          <w:rFonts w:cs="Arial"/>
          <w:szCs w:val="24"/>
        </w:rPr>
        <w:t>and</w:t>
      </w:r>
      <w:r>
        <w:rPr>
          <w:rFonts w:cs="Arial"/>
          <w:szCs w:val="24"/>
        </w:rPr>
        <w:t xml:space="preserve"> the race riots which allowed some blacks to defend</w:t>
      </w:r>
      <w:r w:rsidR="008548BC">
        <w:rPr>
          <w:rFonts w:cs="Arial"/>
          <w:szCs w:val="24"/>
        </w:rPr>
        <w:t xml:space="preserve"> </w:t>
      </w:r>
      <w:r>
        <w:rPr>
          <w:rFonts w:cs="Arial"/>
          <w:szCs w:val="24"/>
        </w:rPr>
        <w:t>themselves with firearms which led to non-southern states</w:t>
      </w:r>
      <w:r w:rsidR="008548BC">
        <w:rPr>
          <w:rFonts w:cs="Arial"/>
          <w:szCs w:val="24"/>
        </w:rPr>
        <w:t xml:space="preserve"> to start licensing systems or short waiting periods for hand purchases.</w:t>
      </w:r>
    </w:p>
    <w:p w:rsidR="006459A3" w:rsidRPr="0025081D" w:rsidP="006459A3" w14:paraId="01B924EF" w14:textId="77777777">
      <w:pPr>
        <w:pStyle w:val="ListParagraph"/>
        <w:tabs>
          <w:tab w:val="left" w:pos="1530"/>
        </w:tabs>
        <w:rPr>
          <w:rFonts w:cs="Arial"/>
          <w:szCs w:val="24"/>
        </w:rPr>
      </w:pPr>
    </w:p>
    <w:p w:rsidR="006459A3" w:rsidRPr="0025081D" w:rsidP="00ED08D6" w14:paraId="13A0C667" w14:textId="5043D005">
      <w:pPr>
        <w:pStyle w:val="ListParagraph"/>
        <w:tabs>
          <w:tab w:val="left" w:pos="1530"/>
        </w:tabs>
        <w:ind w:left="1890"/>
        <w:rPr>
          <w:rFonts w:cs="Arial"/>
          <w:szCs w:val="24"/>
        </w:rPr>
      </w:pPr>
      <w:r w:rsidRPr="0025081D">
        <w:rPr>
          <w:rFonts w:cs="Arial"/>
          <w:szCs w:val="24"/>
        </w:rPr>
        <w:t xml:space="preserve"> </w:t>
      </w:r>
      <w:r w:rsidR="008548BC">
        <w:rPr>
          <w:rFonts w:cs="Arial"/>
          <w:b/>
          <w:szCs w:val="24"/>
        </w:rPr>
        <w:t>The Father of Gun Control</w:t>
      </w:r>
      <w:r w:rsidR="00CC157F">
        <w:rPr>
          <w:rFonts w:cs="Arial"/>
          <w:b/>
          <w:szCs w:val="24"/>
        </w:rPr>
        <w:t>-</w:t>
      </w:r>
      <w:r w:rsidRPr="0025081D">
        <w:rPr>
          <w:rFonts w:cs="Arial"/>
          <w:szCs w:val="24"/>
        </w:rPr>
        <w:t xml:space="preserve"> </w:t>
      </w:r>
      <w:r w:rsidR="00CC157F">
        <w:rPr>
          <w:rFonts w:cs="Arial"/>
          <w:szCs w:val="24"/>
        </w:rPr>
        <w:t xml:space="preserve">Senator Thomas J. Dodd was considered the father of gun control as he stepped forward as his main interest in his seat was to banish guns and regulate persons and guns.  His bills which he tried getting passed went from regulation to taxes and fee's all about firearms and their purchases.     Dodd would speak to Congress many times </w:t>
      </w:r>
      <w:r w:rsidR="00E74532">
        <w:rPr>
          <w:rFonts w:cs="Arial"/>
          <w:szCs w:val="24"/>
        </w:rPr>
        <w:t>to</w:t>
      </w:r>
      <w:r w:rsidR="00CC157F">
        <w:rPr>
          <w:rFonts w:cs="Arial"/>
          <w:szCs w:val="24"/>
        </w:rPr>
        <w:t xml:space="preserve"> pass bills mandating gun control.  It wasn’t until the gun control act of 1968 did he have his success in this form.  In a news release from 1968 Dodd is quoted </w:t>
      </w:r>
      <w:r w:rsidR="00CC157F">
        <w:rPr>
          <w:rFonts w:cs="Arial"/>
          <w:szCs w:val="24"/>
        </w:rPr>
        <w:t xml:space="preserve">saying “There are far </w:t>
      </w:r>
      <w:r w:rsidR="00CC157F">
        <w:rPr>
          <w:rFonts w:cs="Arial"/>
          <w:szCs w:val="24"/>
        </w:rPr>
        <w:t>too</w:t>
      </w:r>
      <w:r w:rsidR="00CC157F">
        <w:rPr>
          <w:rFonts w:cs="Arial"/>
          <w:szCs w:val="24"/>
        </w:rPr>
        <w:t xml:space="preserve"> many guns in the hands or irresponsible elements in this nation.  There is too much hatred and too many extremes of both right- and left-wing persuasions." The University of Connecticut, (2014).
</w:t>
      </w:r>
    </w:p>
    <w:p w:rsidR="006459A3" w:rsidRPr="0025081D" w:rsidP="006459A3" w14:paraId="27BC7934" w14:textId="77777777">
      <w:pPr>
        <w:pStyle w:val="ListParagraph"/>
        <w:tabs>
          <w:tab w:val="left" w:pos="1530"/>
        </w:tabs>
        <w:ind w:left="1890"/>
        <w:rPr>
          <w:rFonts w:cs="Arial"/>
          <w:szCs w:val="24"/>
        </w:rPr>
      </w:pPr>
    </w:p>
    <w:p w:rsidR="006459A3" w:rsidRPr="0025081D" w:rsidP="0025081D" w14:paraId="048287E7" w14:textId="51E3A2FA">
      <w:pPr>
        <w:pStyle w:val="ListParagraph"/>
        <w:numPr>
          <w:ilvl w:val="0"/>
          <w:numId w:val="11"/>
        </w:numPr>
        <w:tabs>
          <w:tab w:val="left" w:pos="1530"/>
        </w:tabs>
        <w:rPr>
          <w:rFonts w:cs="Arial"/>
          <w:b/>
          <w:szCs w:val="24"/>
        </w:rPr>
      </w:pPr>
      <w:r>
        <w:rPr>
          <w:rFonts w:cs="Arial"/>
          <w:b/>
          <w:szCs w:val="24"/>
        </w:rPr>
        <w:t xml:space="preserve">special interest groups and </w:t>
      </w:r>
      <w:r w:rsidR="001677B5">
        <w:rPr>
          <w:rFonts w:cs="Arial"/>
          <w:b/>
          <w:szCs w:val="24"/>
        </w:rPr>
        <w:t>Checks and Balances</w:t>
      </w:r>
      <w:r>
        <w:rPr>
          <w:rFonts w:cs="Arial"/>
          <w:b/>
          <w:szCs w:val="24"/>
        </w:rPr>
        <w:t>.</w:t>
      </w:r>
    </w:p>
    <w:p w:rsidR="006459A3" w:rsidRPr="0025081D" w:rsidP="006459A3" w14:paraId="1EA44B63" w14:textId="77777777">
      <w:pPr>
        <w:pStyle w:val="ListParagraph"/>
        <w:tabs>
          <w:tab w:val="left" w:pos="1530"/>
        </w:tabs>
        <w:rPr>
          <w:rFonts w:cs="Arial"/>
          <w:szCs w:val="24"/>
        </w:rPr>
      </w:pPr>
    </w:p>
    <w:p w:rsidR="00ED08D6" w:rsidP="00ED08D6" w14:paraId="39407AA5" w14:textId="24F03E84">
      <w:pPr>
        <w:pStyle w:val="ListParagraph"/>
        <w:tabs>
          <w:tab w:val="left" w:pos="1530"/>
        </w:tabs>
        <w:ind w:left="1890"/>
      </w:pPr>
      <w:r w:rsidRPr="0025081D">
        <w:rPr>
          <w:rFonts w:cs="Arial"/>
          <w:szCs w:val="24"/>
        </w:rPr>
        <w:t xml:space="preserve"> </w:t>
      </w:r>
      <w:r>
        <w:rPr>
          <w:rFonts w:cs="Arial"/>
          <w:b/>
          <w:szCs w:val="24"/>
        </w:rPr>
        <w:t>Assassination and the Birth of Gun Control Acts</w:t>
      </w:r>
      <w:r>
        <w:rPr>
          <w:rFonts w:cs="Arial"/>
          <w:szCs w:val="24"/>
        </w:rPr>
        <w:t>- The assassination of John F. Kennedy and Martin Luther King gave the ammunition needed to put into effect a gun regulation act. Jon Michaud a writer for the New Yorker stated in his article “The Birth of the Modern Gun Debate said (2012)” says, “In</w:t>
      </w:r>
      <w:r>
        <w:t xml:space="preserve"> 1963, Lee Harvey Oswald bought a bolt-action rifle—an Italian military-surplus weapon—for nineteen dollars and ninety-five cents by ordering it from an ad that he found in American Rifleman”.   This would be a hot topic and one needed to pass the gun control act banning the sales of forearms from mail order.  </w:t>
      </w:r>
      <w:r>
        <w:t>Michaud</w:t>
      </w:r>
      <w:r>
        <w:t xml:space="preserve"> goes on to explains that the NRA took a hit as the head of the NRA supported the bill.  The stance of the NRA had always been in support of the second amendment.  In an article in the Fishing and Hunting article stated that "Harris quotes an editorial from </w:t>
      </w:r>
      <w:r>
        <w:rPr>
          <w:rStyle w:val="Emphasis"/>
        </w:rPr>
        <w:t>Fishing &amp; Hunting News</w:t>
      </w:r>
      <w:r>
        <w:t xml:space="preserve"> that said, "Our fighting brother just stabbed every sportsman who ever belonged or believed in that organization in the back and us".
</w:t>
      </w:r>
    </w:p>
    <w:p w:rsidR="001677B5" w:rsidP="00ED08D6" w14:paraId="2F9B24CC" w14:textId="6DDF6D97">
      <w:pPr>
        <w:pStyle w:val="ListParagraph"/>
        <w:tabs>
          <w:tab w:val="left" w:pos="1530"/>
        </w:tabs>
        <w:ind w:left="1890"/>
        <w:rPr>
          <w:rFonts w:cs="Arial"/>
          <w:szCs w:val="24"/>
        </w:rPr>
      </w:pPr>
    </w:p>
    <w:p w:rsidR="001677B5" w:rsidP="00ED08D6" w14:paraId="2F7C1EA3" w14:textId="4160A30C">
      <w:pPr>
        <w:pStyle w:val="ListParagraph"/>
        <w:tabs>
          <w:tab w:val="left" w:pos="1530"/>
        </w:tabs>
        <w:ind w:left="1890"/>
        <w:rPr>
          <w:rFonts w:cs="Arial"/>
          <w:szCs w:val="24"/>
        </w:rPr>
      </w:pPr>
      <w:r>
        <w:rPr>
          <w:rFonts w:cs="Arial"/>
          <w:szCs w:val="24"/>
        </w:rPr>
        <w:t>Leider</w:t>
      </w:r>
      <w:r>
        <w:rPr>
          <w:rFonts w:cs="Arial"/>
          <w:szCs w:val="24"/>
        </w:rPr>
        <w:t xml:space="preserve"> (201</w:t>
      </w:r>
      <w:r w:rsidR="009B6E37">
        <w:rPr>
          <w:rFonts w:cs="Arial"/>
          <w:szCs w:val="24"/>
        </w:rPr>
        <w:t>2</w:t>
      </w:r>
      <w:r>
        <w:rPr>
          <w:rFonts w:cs="Arial"/>
          <w:szCs w:val="24"/>
        </w:rPr>
        <w:t>) wrote a lot about the rights of the people and the rights to bear arms as he says that rights can be divided into four parts. There is the actual subject of the reason, meaning the one had the rights and the second is the object of the right which consists of the persons or end ties against the person</w:t>
      </w:r>
      <w:r w:rsidR="009B6E37">
        <w:rPr>
          <w:rFonts w:cs="Arial"/>
          <w:szCs w:val="24"/>
        </w:rPr>
        <w:t xml:space="preserve"> </w:t>
      </w:r>
      <w:r>
        <w:rPr>
          <w:rFonts w:cs="Arial"/>
          <w:szCs w:val="24"/>
        </w:rPr>
        <w:t xml:space="preserve">that has the rights.  He goes further </w:t>
      </w:r>
      <w:r w:rsidR="009B6E37">
        <w:rPr>
          <w:rFonts w:cs="Arial"/>
          <w:szCs w:val="24"/>
        </w:rPr>
        <w:t>about the third asking why we have that right and what is the reason for that right.  The final is the overall act of pondering the purpose of sad right and define the content of it.  As for any right we need to confirm and establish a way to cover ourselves while allowing certain rights to be controlled or not controlled.</w:t>
      </w:r>
    </w:p>
    <w:p w:rsidR="006459A3" w:rsidRPr="0025081D" w:rsidP="00ED08D6" w14:paraId="5D02C3FE" w14:textId="6880FC41">
      <w:pPr>
        <w:pStyle w:val="ListParagraph"/>
        <w:tabs>
          <w:tab w:val="left" w:pos="1530"/>
        </w:tabs>
        <w:ind w:left="1890"/>
        <w:rPr>
          <w:rFonts w:cs="Arial"/>
          <w:szCs w:val="24"/>
        </w:rPr>
      </w:pPr>
    </w:p>
    <w:p w:rsidR="00ED08D6" w:rsidP="00ED08D6" w14:paraId="3D6E1090" w14:textId="77777777">
      <w:pPr>
        <w:pStyle w:val="ListParagraph"/>
        <w:numPr>
          <w:ilvl w:val="0"/>
          <w:numId w:val="8"/>
        </w:numPr>
        <w:tabs>
          <w:tab w:val="left" w:pos="1530"/>
        </w:tabs>
        <w:rPr>
          <w:rFonts w:cs="Arial"/>
          <w:szCs w:val="24"/>
        </w:rPr>
      </w:pPr>
      <w:r>
        <w:rPr>
          <w:rFonts w:cs="Arial"/>
          <w:b/>
          <w:szCs w:val="24"/>
        </w:rPr>
        <w:t>People and The Media</w:t>
      </w:r>
      <w:r w:rsidR="00E3371C">
        <w:rPr>
          <w:rFonts w:cs="Arial"/>
          <w:szCs w:val="24"/>
        </w:rPr>
        <w:t xml:space="preserve">- </w:t>
      </w:r>
    </w:p>
    <w:p w:rsidR="00ED08D6" w:rsidP="00ED08D6" w14:paraId="081DFCE9" w14:textId="77777777">
      <w:pPr>
        <w:pStyle w:val="ListParagraph"/>
        <w:tabs>
          <w:tab w:val="left" w:pos="1530"/>
        </w:tabs>
        <w:ind w:left="1890"/>
        <w:rPr>
          <w:rFonts w:cs="Arial"/>
          <w:szCs w:val="24"/>
        </w:rPr>
      </w:pPr>
    </w:p>
    <w:p w:rsidR="006459A3" w:rsidP="00ED08D6" w14:paraId="1C316765" w14:textId="3933AE87">
      <w:pPr>
        <w:pStyle w:val="ListParagraph"/>
        <w:tabs>
          <w:tab w:val="left" w:pos="1530"/>
        </w:tabs>
        <w:ind w:left="1890"/>
        <w:rPr>
          <w:rFonts w:cs="Arial"/>
          <w:szCs w:val="24"/>
        </w:rPr>
      </w:pPr>
      <w:r w:rsidRPr="00ED08D6">
        <w:rPr>
          <w:rFonts w:cs="Arial"/>
          <w:szCs w:val="24"/>
        </w:rPr>
        <w:t>Newhard</w:t>
      </w:r>
      <w:r>
        <w:rPr>
          <w:rFonts w:cs="Arial"/>
          <w:szCs w:val="24"/>
        </w:rPr>
        <w:t xml:space="preserve"> (2015) explains that </w:t>
      </w:r>
      <w:r w:rsidR="009E2F0C">
        <w:rPr>
          <w:rFonts w:cs="Arial"/>
          <w:szCs w:val="24"/>
        </w:rPr>
        <w:t xml:space="preserve">after Dodd's was written about in the 1965 article for the New York Times that Dodd's bill was "essential in the war against crime and violence."  He further explains that after the mass shooting in University in Texas by Whitman a man that launched his attack which killed thirty-two people before being shot by police stirred a media frenzy and a public outcry for </w:t>
      </w:r>
      <w:r w:rsidR="009E2F0C">
        <w:rPr>
          <w:rFonts w:cs="Arial"/>
          <w:szCs w:val="24"/>
        </w:rPr>
        <w:t xml:space="preserve">some remedy of violence.  At the time Lyndon Johnson along with Dodd, Edward Kennedy, and George </w:t>
      </w:r>
      <w:r w:rsidR="009E2F0C">
        <w:rPr>
          <w:rFonts w:cs="Arial"/>
          <w:szCs w:val="24"/>
        </w:rPr>
        <w:t>Smathers</w:t>
      </w:r>
      <w:r w:rsidR="009E2F0C">
        <w:rPr>
          <w:rFonts w:cs="Arial"/>
          <w:szCs w:val="24"/>
        </w:rPr>
        <w:t xml:space="preserve"> demanding change and a strong </w:t>
      </w:r>
    </w:p>
    <w:p w:rsidR="009E2F0C" w:rsidP="00ED08D6" w14:paraId="0EBB3335" w14:textId="3EA83AA4">
      <w:pPr>
        <w:pStyle w:val="ListParagraph"/>
        <w:tabs>
          <w:tab w:val="left" w:pos="1530"/>
        </w:tabs>
        <w:ind w:left="1890"/>
        <w:rPr>
          <w:rFonts w:cs="Arial"/>
          <w:szCs w:val="24"/>
        </w:rPr>
      </w:pPr>
    </w:p>
    <w:p w:rsidR="009E2F0C" w:rsidRPr="00ED08D6" w:rsidP="00ED08D6" w14:paraId="56DE7CDE" w14:textId="5413F0D9">
      <w:pPr>
        <w:pStyle w:val="ListParagraph"/>
        <w:tabs>
          <w:tab w:val="left" w:pos="1530"/>
        </w:tabs>
        <w:ind w:left="1890"/>
        <w:rPr>
          <w:rFonts w:cs="Arial"/>
          <w:szCs w:val="24"/>
        </w:rPr>
      </w:pPr>
      <w:r>
        <w:rPr>
          <w:rFonts w:cs="Arial"/>
          <w:szCs w:val="24"/>
        </w:rPr>
        <w:t xml:space="preserve">The New York </w:t>
      </w:r>
      <w:r w:rsidR="0063731C">
        <w:rPr>
          <w:rFonts w:cs="Arial"/>
          <w:szCs w:val="24"/>
        </w:rPr>
        <w:t>Times'</w:t>
      </w:r>
      <w:r>
        <w:rPr>
          <w:rFonts w:cs="Arial"/>
          <w:szCs w:val="24"/>
        </w:rPr>
        <w:t xml:space="preserve"> editorial the mass murder and the assassinations may have also provided the addition push needed to create the aroused public opinion that would finally force through the effective national gun control legislation</w:t>
      </w:r>
      <w:r w:rsidR="001677B5">
        <w:rPr>
          <w:rFonts w:cs="Arial"/>
          <w:szCs w:val="24"/>
        </w:rPr>
        <w:t xml:space="preserve"> according to </w:t>
      </w:r>
      <w:r w:rsidR="001677B5">
        <w:rPr>
          <w:rFonts w:cs="Arial"/>
          <w:szCs w:val="24"/>
        </w:rPr>
        <w:t>Newhard</w:t>
      </w:r>
      <w:r w:rsidR="000215B0">
        <w:rPr>
          <w:rFonts w:cs="Arial"/>
          <w:szCs w:val="24"/>
        </w:rPr>
        <w:t xml:space="preserve"> </w:t>
      </w:r>
      <w:r w:rsidR="001677B5">
        <w:rPr>
          <w:rFonts w:cs="Arial"/>
          <w:szCs w:val="24"/>
        </w:rPr>
        <w:t xml:space="preserve">(2015). Now with a momentum building and some of the public on board, many firearms owners made public stands, and according to the Washington Post, a surge of sales and imports flooded America as many opposed the bill and were afraid their rights were being tampered with </w:t>
      </w:r>
      <w:r w:rsidR="001677B5">
        <w:rPr>
          <w:rFonts w:cs="Arial"/>
          <w:szCs w:val="24"/>
        </w:rPr>
        <w:t>Newhard</w:t>
      </w:r>
      <w:r w:rsidR="000A388F">
        <w:rPr>
          <w:rFonts w:cs="Arial"/>
          <w:szCs w:val="24"/>
        </w:rPr>
        <w:t xml:space="preserve"> (2015).</w:t>
      </w:r>
    </w:p>
    <w:p w:rsidR="006459A3" w:rsidRPr="0025081D" w:rsidP="006459A3" w14:paraId="2E5856BF" w14:textId="77777777">
      <w:pPr>
        <w:pStyle w:val="ListParagraph"/>
        <w:tabs>
          <w:tab w:val="left" w:pos="1530"/>
        </w:tabs>
        <w:ind w:left="1890"/>
        <w:rPr>
          <w:rFonts w:cs="Arial"/>
          <w:szCs w:val="24"/>
        </w:rPr>
      </w:pPr>
    </w:p>
    <w:p w:rsidR="006459A3" w:rsidRPr="0025081D" w:rsidP="0025081D" w14:paraId="0E04BB0D" w14:textId="08BC8F91">
      <w:pPr>
        <w:pStyle w:val="ListParagraph"/>
        <w:numPr>
          <w:ilvl w:val="0"/>
          <w:numId w:val="11"/>
        </w:numPr>
        <w:tabs>
          <w:tab w:val="left" w:pos="1530"/>
        </w:tabs>
        <w:rPr>
          <w:rFonts w:cs="Arial"/>
          <w:b/>
          <w:szCs w:val="24"/>
        </w:rPr>
      </w:pPr>
      <w:r>
        <w:rPr>
          <w:rFonts w:cs="Arial"/>
          <w:b/>
          <w:szCs w:val="24"/>
        </w:rPr>
        <w:t>Hesitations, Voting, and the Elections.</w:t>
      </w:r>
    </w:p>
    <w:p w:rsidR="006459A3" w:rsidRPr="0025081D" w:rsidP="006459A3" w14:paraId="66889725" w14:textId="77777777">
      <w:pPr>
        <w:pStyle w:val="ListParagraph"/>
        <w:tabs>
          <w:tab w:val="left" w:pos="1530"/>
        </w:tabs>
        <w:rPr>
          <w:rFonts w:cs="Arial"/>
          <w:szCs w:val="24"/>
        </w:rPr>
      </w:pPr>
    </w:p>
    <w:p w:rsidR="006459A3" w:rsidP="009B6E37" w14:paraId="306C1A13" w14:textId="2B4FE38B">
      <w:pPr>
        <w:pStyle w:val="ListParagraph"/>
        <w:numPr>
          <w:ilvl w:val="0"/>
          <w:numId w:val="9"/>
        </w:numPr>
        <w:tabs>
          <w:tab w:val="left" w:pos="1530"/>
        </w:tabs>
        <w:rPr>
          <w:rFonts w:cs="Arial"/>
          <w:szCs w:val="24"/>
        </w:rPr>
      </w:pPr>
      <w:r w:rsidRPr="0025081D">
        <w:rPr>
          <w:rFonts w:cs="Arial"/>
          <w:szCs w:val="24"/>
        </w:rPr>
        <w:t xml:space="preserve"> </w:t>
      </w:r>
      <w:r w:rsidR="009B6E37">
        <w:rPr>
          <w:rFonts w:cs="Arial"/>
          <w:b/>
          <w:szCs w:val="24"/>
        </w:rPr>
        <w:t>Hesitations by Political Party</w:t>
      </w:r>
      <w:r w:rsidRPr="0025081D">
        <w:rPr>
          <w:rFonts w:cs="Arial"/>
          <w:szCs w:val="24"/>
        </w:rPr>
        <w:t xml:space="preserve">- </w:t>
      </w:r>
    </w:p>
    <w:p w:rsidR="009B6E37" w:rsidP="009B6E37" w14:paraId="32D90591" w14:textId="4AB75CBF">
      <w:pPr>
        <w:pStyle w:val="ListParagraph"/>
        <w:tabs>
          <w:tab w:val="left" w:pos="1530"/>
        </w:tabs>
        <w:ind w:left="1890"/>
        <w:rPr>
          <w:rFonts w:cs="Arial"/>
          <w:szCs w:val="24"/>
        </w:rPr>
      </w:pPr>
    </w:p>
    <w:p w:rsidR="00D4644E" w:rsidP="009B6E37" w14:paraId="441B7959" w14:textId="71F90EF4">
      <w:pPr>
        <w:pStyle w:val="ListParagraph"/>
        <w:tabs>
          <w:tab w:val="left" w:pos="1530"/>
        </w:tabs>
        <w:ind w:left="1890"/>
        <w:rPr>
          <w:rFonts w:cs="Arial"/>
          <w:szCs w:val="24"/>
        </w:rPr>
      </w:pPr>
      <w:r>
        <w:rPr>
          <w:rFonts w:cs="Arial"/>
          <w:szCs w:val="24"/>
        </w:rPr>
        <w:t xml:space="preserve">When talking about the second </w:t>
      </w:r>
      <w:r>
        <w:rPr>
          <w:rFonts w:cs="Arial"/>
          <w:szCs w:val="24"/>
        </w:rPr>
        <w:t>amendment</w:t>
      </w:r>
      <w:r>
        <w:rPr>
          <w:rFonts w:cs="Arial"/>
          <w:szCs w:val="24"/>
        </w:rPr>
        <w:t xml:space="preserve"> and the constitution, many questions were raised in both the democratic and </w:t>
      </w:r>
      <w:r>
        <w:rPr>
          <w:rFonts w:cs="Arial"/>
          <w:szCs w:val="24"/>
        </w:rPr>
        <w:t>republican</w:t>
      </w:r>
      <w:r>
        <w:rPr>
          <w:rFonts w:cs="Arial"/>
          <w:szCs w:val="24"/>
        </w:rPr>
        <w:t xml:space="preserve"> views in not only gun control but what does the second </w:t>
      </w:r>
      <w:r>
        <w:rPr>
          <w:rFonts w:cs="Arial"/>
          <w:szCs w:val="24"/>
        </w:rPr>
        <w:t>amendment</w:t>
      </w:r>
      <w:r>
        <w:rPr>
          <w:rFonts w:cs="Arial"/>
          <w:szCs w:val="24"/>
        </w:rPr>
        <w:t xml:space="preserve"> state, why it starts </w:t>
      </w:r>
      <w:r>
        <w:rPr>
          <w:rFonts w:cs="Arial"/>
          <w:szCs w:val="24"/>
        </w:rPr>
        <w:t>it</w:t>
      </w:r>
      <w:r>
        <w:rPr>
          <w:rFonts w:cs="Arial"/>
          <w:szCs w:val="24"/>
        </w:rPr>
        <w:t xml:space="preserve"> and does it mean the same thing now.  Of course, </w:t>
      </w:r>
      <w:r>
        <w:rPr>
          <w:rFonts w:cs="Arial"/>
          <w:szCs w:val="24"/>
        </w:rPr>
        <w:t>divides</w:t>
      </w:r>
      <w:r>
        <w:rPr>
          <w:rFonts w:cs="Arial"/>
          <w:szCs w:val="24"/>
        </w:rPr>
        <w:t xml:space="preserve"> both parties and has always made the second amendment a hot topic in debate and running elections times.  </w:t>
      </w:r>
      <w:r>
        <w:rPr>
          <w:rFonts w:cs="Arial"/>
          <w:szCs w:val="24"/>
        </w:rPr>
        <w:t>Kruschke</w:t>
      </w:r>
      <w:r>
        <w:rPr>
          <w:rFonts w:cs="Arial"/>
          <w:szCs w:val="24"/>
        </w:rPr>
        <w:t xml:space="preserve"> </w:t>
      </w:r>
      <w:r>
        <w:rPr>
          <w:rFonts w:cs="Arial"/>
          <w:szCs w:val="24"/>
        </w:rPr>
        <w:t xml:space="preserve">had a lot to say about the second </w:t>
      </w:r>
      <w:r>
        <w:rPr>
          <w:rFonts w:cs="Arial"/>
          <w:szCs w:val="24"/>
        </w:rPr>
        <w:t>amendment</w:t>
      </w:r>
      <w:r>
        <w:rPr>
          <w:rFonts w:cs="Arial"/>
          <w:szCs w:val="24"/>
        </w:rPr>
        <w:t xml:space="preserve"> and little background on hesitations on what side to be on. </w:t>
      </w:r>
      <w:r>
        <w:rPr>
          <w:rFonts w:cs="Arial"/>
          <w:szCs w:val="24"/>
        </w:rPr>
        <w:t>He explains that there is the collective view and the states rights view and that the second amendment was a counter to fear the national government would disarm the state militias.  Also, a response to the people to who was going to be in the militias would be stripped of their arms. He goes on to explain that in an individual view could argue that the amendment does not create a state right but instead protects individual rights.  It was an individual right for protection.
</w:t>
      </w:r>
    </w:p>
    <w:p w:rsidR="00567A11" w:rsidP="009B6E37" w14:paraId="7ABF8875" w14:textId="77777777">
      <w:pPr>
        <w:pStyle w:val="ListParagraph"/>
        <w:tabs>
          <w:tab w:val="left" w:pos="1530"/>
        </w:tabs>
        <w:ind w:left="1890"/>
        <w:rPr>
          <w:rFonts w:cs="Arial"/>
          <w:szCs w:val="24"/>
        </w:rPr>
      </w:pPr>
    </w:p>
    <w:p w:rsidR="00D4644E" w:rsidP="009B6E37" w14:paraId="4B937ECD" w14:textId="58114869">
      <w:pPr>
        <w:pStyle w:val="ListParagraph"/>
        <w:tabs>
          <w:tab w:val="left" w:pos="1530"/>
        </w:tabs>
        <w:ind w:left="1890"/>
        <w:rPr>
          <w:rFonts w:cs="Arial"/>
          <w:szCs w:val="24"/>
        </w:rPr>
      </w:pPr>
      <w:r>
        <w:rPr>
          <w:rFonts w:cs="Arial"/>
          <w:szCs w:val="24"/>
        </w:rPr>
        <w:t xml:space="preserve">Both parties can express this amendment in either fashion being for control of gun right because it was an amendment based on need at the time or the other hand not allow the second amendment to be touched as it still </w:t>
      </w:r>
      <w:r w:rsidR="00567A11">
        <w:rPr>
          <w:rFonts w:cs="Arial"/>
          <w:szCs w:val="24"/>
        </w:rPr>
        <w:t>stands</w:t>
      </w:r>
      <w:r>
        <w:rPr>
          <w:rFonts w:cs="Arial"/>
          <w:szCs w:val="24"/>
        </w:rPr>
        <w:t xml:space="preserve"> true today</w:t>
      </w:r>
      <w:r w:rsidR="00567A11">
        <w:rPr>
          <w:rFonts w:cs="Arial"/>
          <w:szCs w:val="24"/>
        </w:rPr>
        <w:t>.</w:t>
      </w:r>
    </w:p>
    <w:p w:rsidR="009B6E37" w:rsidRPr="0025081D" w:rsidP="009B6E37" w14:paraId="776DF9C1" w14:textId="3534C2A1">
      <w:pPr>
        <w:pStyle w:val="ListParagraph"/>
        <w:tabs>
          <w:tab w:val="left" w:pos="1530"/>
        </w:tabs>
        <w:ind w:left="1890"/>
        <w:rPr>
          <w:rFonts w:cs="Arial"/>
          <w:szCs w:val="24"/>
        </w:rPr>
      </w:pPr>
      <w:r>
        <w:rPr>
          <w:rFonts w:cs="Arial"/>
          <w:szCs w:val="24"/>
        </w:rPr>
        <w:t xml:space="preserve"> </w:t>
      </w:r>
    </w:p>
    <w:p w:rsidR="00567A11" w:rsidP="006459A3" w14:paraId="1FCB4C5E" w14:textId="3008D5F2">
      <w:pPr>
        <w:pStyle w:val="ListParagraph"/>
        <w:numPr>
          <w:ilvl w:val="0"/>
          <w:numId w:val="9"/>
        </w:numPr>
        <w:tabs>
          <w:tab w:val="left" w:pos="1530"/>
        </w:tabs>
        <w:rPr>
          <w:rFonts w:cs="Arial"/>
          <w:szCs w:val="24"/>
        </w:rPr>
      </w:pPr>
      <w:r>
        <w:rPr>
          <w:rFonts w:cs="Arial"/>
          <w:b/>
          <w:szCs w:val="24"/>
        </w:rPr>
        <w:t xml:space="preserve">Voting, and the </w:t>
      </w:r>
      <w:r>
        <w:rPr>
          <w:rFonts w:cs="Arial"/>
          <w:b/>
          <w:szCs w:val="24"/>
        </w:rPr>
        <w:t>Elections.</w:t>
      </w:r>
      <w:r>
        <w:rPr>
          <w:rFonts w:cs="Arial"/>
          <w:szCs w:val="24"/>
        </w:rPr>
        <w:t xml:space="preserve"> –</w:t>
      </w:r>
    </w:p>
    <w:p w:rsidR="00567A11" w:rsidP="00567A11" w14:paraId="72301148" w14:textId="77777777">
      <w:pPr>
        <w:pStyle w:val="ListParagraph"/>
        <w:tabs>
          <w:tab w:val="left" w:pos="1530"/>
        </w:tabs>
        <w:ind w:left="1890"/>
        <w:rPr>
          <w:rFonts w:cs="Arial"/>
          <w:szCs w:val="24"/>
        </w:rPr>
      </w:pPr>
    </w:p>
    <w:p w:rsidR="006459A3" w:rsidRPr="00567A11" w:rsidP="00567A11" w14:paraId="3E3122DE" w14:textId="06CC99AC">
      <w:pPr>
        <w:pStyle w:val="ListParagraph"/>
        <w:tabs>
          <w:tab w:val="left" w:pos="1530"/>
        </w:tabs>
        <w:ind w:left="1890"/>
        <w:rPr>
          <w:rFonts w:cs="Arial"/>
          <w:szCs w:val="24"/>
        </w:rPr>
      </w:pPr>
      <w:r w:rsidRPr="00567A11">
        <w:rPr>
          <w:rFonts w:cs="Arial"/>
          <w:szCs w:val="24"/>
        </w:rPr>
        <w:t xml:space="preserve"> This should be the second</w:t>
      </w:r>
      <w:r w:rsidRPr="00567A11">
        <w:rPr>
          <w:rFonts w:cs="Arial"/>
          <w:szCs w:val="24"/>
        </w:rPr>
        <w:t xml:space="preserve"> main point to support your argument or assertion here.</w:t>
      </w:r>
    </w:p>
    <w:p w:rsidR="006459A3" w:rsidRPr="0025081D" w:rsidP="006459A3" w14:paraId="7E1381ED" w14:textId="7E69A770">
      <w:pPr>
        <w:pStyle w:val="ListParagraph"/>
        <w:tabs>
          <w:tab w:val="left" w:pos="1530"/>
        </w:tabs>
        <w:ind w:left="1890"/>
        <w:rPr>
          <w:rFonts w:cs="Arial"/>
          <w:szCs w:val="24"/>
        </w:rPr>
      </w:pPr>
      <w:r w:rsidRPr="0025081D">
        <w:rPr>
          <w:rFonts w:cs="Arial"/>
          <w:szCs w:val="24"/>
        </w:rPr>
        <w:t xml:space="preserve">This is where you will outline this </w:t>
      </w:r>
      <w:r w:rsidRPr="0025081D" w:rsidR="00567A11">
        <w:rPr>
          <w:rFonts w:cs="Arial"/>
          <w:szCs w:val="24"/>
        </w:rPr>
        <w:t>point and</w:t>
      </w:r>
      <w:r w:rsidRPr="0025081D">
        <w:rPr>
          <w:rFonts w:cs="Arial"/>
          <w:szCs w:val="24"/>
        </w:rPr>
        <w:t xml:space="preserve"> include the APA in-text citation when you are incorporating your research information.</w:t>
      </w:r>
      <w:r w:rsidR="00567A11">
        <w:rPr>
          <w:rFonts w:cs="Arial"/>
          <w:szCs w:val="24"/>
        </w:rPr>
        <w:t xml:space="preserve">  During the presidential debates between Donald Trump and Hilary Clinton, the gun law debate was huge in its discussion.  Hilary had a stance in saying she wanted to have stricter gun laws as it would prevent murder, accidental killings of youth, and cut down on gun crime in general.  Trump, on the other hand, had a different view, that the second amendment should not be touched and was proudly backed by the NRA early on in his campaign.  </w:t>
      </w:r>
      <w:r w:rsidR="00894096">
        <w:rPr>
          <w:rFonts w:cs="Arial"/>
          <w:szCs w:val="24"/>
        </w:rPr>
        <w:t xml:space="preserve">His final comment was that Chicago had the strictest gun laws in the </w:t>
      </w:r>
      <w:r w:rsidR="00E146FF">
        <w:rPr>
          <w:rFonts w:cs="Arial"/>
          <w:szCs w:val="24"/>
        </w:rPr>
        <w:t>country,</w:t>
      </w:r>
      <w:bookmarkStart w:id="0" w:name="_GoBack"/>
      <w:bookmarkEnd w:id="0"/>
      <w:r w:rsidR="00894096">
        <w:rPr>
          <w:rFonts w:cs="Arial"/>
          <w:szCs w:val="24"/>
        </w:rPr>
        <w:t xml:space="preserve"> yet it still also had the highest crime and death toll.</w:t>
      </w:r>
    </w:p>
    <w:p w:rsidR="006459A3" w:rsidRPr="0025081D" w:rsidP="006459A3" w14:paraId="4D6C54C9" w14:textId="77777777">
      <w:pPr>
        <w:pStyle w:val="ListParagraph"/>
        <w:tabs>
          <w:tab w:val="left" w:pos="1530"/>
        </w:tabs>
        <w:ind w:left="1890"/>
        <w:rPr>
          <w:rFonts w:cs="Arial"/>
          <w:szCs w:val="24"/>
        </w:rPr>
      </w:pPr>
    </w:p>
    <w:p w:rsidR="006459A3" w:rsidRPr="0025081D" w:rsidP="0025081D" w14:paraId="4FFD8E3E" w14:textId="77777777">
      <w:pPr>
        <w:pStyle w:val="ListParagraph"/>
        <w:numPr>
          <w:ilvl w:val="0"/>
          <w:numId w:val="11"/>
        </w:numPr>
        <w:tabs>
          <w:tab w:val="left" w:pos="1530"/>
        </w:tabs>
        <w:rPr>
          <w:rFonts w:cs="Arial"/>
          <w:b/>
          <w:szCs w:val="24"/>
        </w:rPr>
      </w:pPr>
      <w:r w:rsidRPr="0025081D">
        <w:rPr>
          <w:rFonts w:cs="Arial"/>
          <w:b/>
          <w:szCs w:val="24"/>
        </w:rPr>
        <w:t>Conclusion</w:t>
      </w:r>
    </w:p>
    <w:p w:rsidR="006459A3" w:rsidRPr="0025081D" w:rsidP="006459A3" w14:paraId="2CFDF83E" w14:textId="48A3F67A">
      <w:pPr>
        <w:pStyle w:val="ListParagraph"/>
        <w:tabs>
          <w:tab w:val="left" w:pos="1530"/>
        </w:tabs>
        <w:ind w:left="360"/>
        <w:rPr>
          <w:rFonts w:cs="Arial"/>
          <w:szCs w:val="24"/>
        </w:rPr>
      </w:pPr>
      <w:r>
        <w:rPr>
          <w:rFonts w:cs="Arial"/>
          <w:szCs w:val="24"/>
        </w:rPr>
        <w:t xml:space="preserve">The gun control of 1968 was not </w:t>
      </w:r>
      <w:r w:rsidR="00894096">
        <w:rPr>
          <w:rFonts w:cs="Arial"/>
          <w:szCs w:val="24"/>
        </w:rPr>
        <w:t xml:space="preserve">only controversial and influential in its time. It was a complex change that added it to history wither for or against it.  It created controversial topics in media, within the people, and even decades later in political elections. It remains clear that gun act of 1968 was historical and to some a far misrepresentation from the second amendment and others the beginning of </w:t>
      </w:r>
      <w:r w:rsidR="00894096">
        <w:rPr>
          <w:rFonts w:cs="Arial"/>
          <w:szCs w:val="24"/>
        </w:rPr>
        <w:t>ongoing</w:t>
      </w:r>
      <w:r w:rsidR="00894096">
        <w:rPr>
          <w:rFonts w:cs="Arial"/>
          <w:szCs w:val="24"/>
        </w:rPr>
        <w:t xml:space="preserve"> gun laws. </w:t>
      </w:r>
    </w:p>
    <w:p w:rsidR="006459A3" w:rsidRPr="00894096" w:rsidP="0025081D" w14:paraId="26293AF1" w14:textId="7182C452">
      <w:pPr>
        <w:pStyle w:val="ListParagraph"/>
        <w:numPr>
          <w:ilvl w:val="0"/>
          <w:numId w:val="11"/>
        </w:numPr>
        <w:tabs>
          <w:tab w:val="left" w:pos="1530"/>
        </w:tabs>
        <w:rPr>
          <w:rFonts w:cs="Arial"/>
          <w:szCs w:val="24"/>
        </w:rPr>
      </w:pPr>
      <w:r w:rsidRPr="0025081D">
        <w:rPr>
          <w:rFonts w:cs="Arial"/>
          <w:b/>
          <w:szCs w:val="24"/>
        </w:rPr>
        <w:t xml:space="preserve">Reference List </w:t>
      </w:r>
    </w:p>
    <w:p w:rsidR="00894096" w:rsidP="00894096" w14:paraId="2D42C85B" w14:textId="621C841F">
      <w:pPr>
        <w:pStyle w:val="ListParagraph"/>
        <w:rPr>
          <w:rFonts w:ascii="Times New Roman" w:hAnsi="Times New Roman" w:cs="Times New Roman"/>
          <w:sz w:val="22"/>
        </w:rPr>
      </w:pPr>
      <w:r w:rsidRPr="00E52356">
        <w:rPr>
          <w:rFonts w:ascii="Times New Roman" w:hAnsi="Times New Roman" w:cs="Times New Roman"/>
          <w:sz w:val="22"/>
        </w:rPr>
        <w:t>Kopel</w:t>
      </w:r>
      <w:r w:rsidRPr="00E52356">
        <w:rPr>
          <w:rFonts w:ascii="Times New Roman" w:hAnsi="Times New Roman" w:cs="Times New Roman"/>
          <w:sz w:val="22"/>
        </w:rPr>
        <w:t xml:space="preserve">, D. B. (2012). The Great Gun Control War of the Twentieth Century-And Its Lessons for Gun Laws Today. Fordham Urban Law Journal, 39(5), 1527–1616. Retrieved from </w:t>
      </w:r>
    </w:p>
    <w:p w:rsidR="00E52356" w:rsidRPr="00E52356" w:rsidP="00894096" w14:paraId="7B0595CA" w14:textId="77777777">
      <w:pPr>
        <w:pStyle w:val="ListParagraph"/>
        <w:rPr>
          <w:rFonts w:ascii="Times New Roman" w:hAnsi="Times New Roman" w:cs="Times New Roman"/>
          <w:sz w:val="22"/>
        </w:rPr>
      </w:pPr>
    </w:p>
    <w:p w:rsidR="00894096" w:rsidRPr="00E52356" w:rsidP="00894096" w14:paraId="00BE3CB5" w14:textId="10E1E548">
      <w:pPr>
        <w:pStyle w:val="ListParagraph"/>
        <w:rPr>
          <w:rFonts w:ascii="Times New Roman" w:hAnsi="Times New Roman" w:cs="Times New Roman"/>
          <w:sz w:val="22"/>
        </w:rPr>
      </w:pPr>
      <w:r>
        <w:fldChar w:fldCharType="begin"/>
      </w:r>
      <w:r>
        <w:instrText xml:space="preserve"> HYPERLINK "http://search.ebscohost.com.proxy-library.ashford.edu/login.aspx?direct=true&amp;db=a9h&amp;AN=86176172&amp;site=eds-live&amp;scope=site" </w:instrText>
      </w:r>
      <w:r>
        <w:fldChar w:fldCharType="separate"/>
      </w:r>
      <w:r w:rsidRPr="00E52356">
        <w:rPr>
          <w:rStyle w:val="Hyperlink"/>
          <w:rFonts w:ascii="Times New Roman" w:hAnsi="Times New Roman" w:cs="Times New Roman"/>
          <w:color w:val="auto"/>
          <w:sz w:val="22"/>
        </w:rPr>
        <w:t>http://search.ebscohost.com.proxy-library.ashford.edu/login.aspx?direct=true&amp;db=a9h&amp;AN=86176172&amp;site=eds-live&amp;scope=site</w:t>
      </w:r>
      <w:r>
        <w:fldChar w:fldCharType="end"/>
      </w:r>
    </w:p>
    <w:p w:rsidR="00894096" w:rsidRPr="00E52356" w:rsidP="00E52356" w14:paraId="32B2D298" w14:textId="35B0B5D0">
      <w:pPr>
        <w:pStyle w:val="ListParagraph"/>
        <w:rPr>
          <w:rFonts w:ascii="Times New Roman" w:hAnsi="Times New Roman" w:cs="Times New Roman"/>
          <w:sz w:val="22"/>
        </w:rPr>
      </w:pPr>
    </w:p>
    <w:p w:rsidR="00E52356" w:rsidRPr="00E52356" w:rsidP="00E52356" w14:paraId="2FF3FCF1" w14:textId="18DBB57E">
      <w:pPr>
        <w:ind w:left="720"/>
        <w:rPr>
          <w:rFonts w:ascii="Times New Roman" w:hAnsi="Times New Roman" w:cs="Times New Roman"/>
        </w:rPr>
      </w:pPr>
      <w:r w:rsidRPr="00E52356">
        <w:rPr>
          <w:rFonts w:ascii="Times New Roman" w:hAnsi="Times New Roman" w:cs="Times New Roman"/>
        </w:rPr>
        <w:t>Kruschke</w:t>
      </w:r>
      <w:r w:rsidRPr="00E52356">
        <w:rPr>
          <w:rFonts w:ascii="Times New Roman" w:hAnsi="Times New Roman" w:cs="Times New Roman"/>
        </w:rPr>
        <w:t xml:space="preserve">, E. R. (1995). Gun </w:t>
      </w:r>
      <w:r w:rsidRPr="00E52356">
        <w:rPr>
          <w:rFonts w:ascii="Times New Roman" w:hAnsi="Times New Roman" w:cs="Times New Roman"/>
        </w:rPr>
        <w:t>Control:</w:t>
      </w:r>
      <w:r w:rsidRPr="00E52356">
        <w:rPr>
          <w:rFonts w:ascii="Times New Roman" w:hAnsi="Times New Roman" w:cs="Times New Roman"/>
        </w:rPr>
        <w:t xml:space="preserve"> A Reference Handbook. Santa Barbara, CA: ABC-CLIO. Retrieved from</w:t>
      </w:r>
    </w:p>
    <w:p w:rsidR="00E52356" w:rsidRPr="00E52356" w:rsidP="00E52356" w14:paraId="2BBB6924" w14:textId="4FBD65B7">
      <w:pPr>
        <w:ind w:left="720"/>
        <w:rPr>
          <w:rFonts w:ascii="Times New Roman" w:hAnsi="Times New Roman" w:cs="Times New Roman"/>
        </w:rPr>
      </w:pPr>
      <w:r w:rsidRPr="00E52356">
        <w:rPr>
          <w:rFonts w:ascii="Times New Roman" w:hAnsi="Times New Roman" w:cs="Times New Roman"/>
        </w:rPr>
        <w:t xml:space="preserve"> </w:t>
      </w:r>
      <w:r>
        <w:fldChar w:fldCharType="begin"/>
      </w:r>
      <w:r>
        <w:instrText xml:space="preserve"> HYPERLINK "http://search.ebscohost.com.proxy-library.ashford.edu/login.aspx?direct=true&amp;db=nlebk&amp;AN=1270&amp;site=eds-live&amp;scope=site" </w:instrText>
      </w:r>
      <w:r>
        <w:fldChar w:fldCharType="separate"/>
      </w:r>
      <w:r w:rsidRPr="00E52356">
        <w:rPr>
          <w:rStyle w:val="Hyperlink"/>
          <w:rFonts w:ascii="Times New Roman" w:hAnsi="Times New Roman" w:cs="Times New Roman"/>
          <w:color w:val="auto"/>
        </w:rPr>
        <w:t>http://search.ebscohost.com.proxy-library.ashford.edu/login.aspx?direct=true&amp;db=nlebk&amp;AN=1270&amp;site=eds-live&amp;scope=site</w:t>
      </w:r>
      <w:r>
        <w:fldChar w:fldCharType="end"/>
      </w:r>
    </w:p>
    <w:p w:rsidR="00E52356" w:rsidRPr="00E52356" w:rsidP="00E52356" w14:paraId="573BC9D9" w14:textId="77777777">
      <w:pPr>
        <w:pStyle w:val="ListParagraph"/>
        <w:rPr>
          <w:rFonts w:ascii="Times New Roman" w:hAnsi="Times New Roman" w:cs="Times New Roman"/>
          <w:sz w:val="22"/>
        </w:rPr>
      </w:pPr>
    </w:p>
    <w:p w:rsidR="00894096" w:rsidRPr="00E52356" w:rsidP="00894096" w14:paraId="537819B3" w14:textId="77777777">
      <w:pPr>
        <w:pStyle w:val="ListParagraph"/>
        <w:rPr>
          <w:rFonts w:ascii="Times New Roman" w:hAnsi="Times New Roman" w:cs="Times New Roman"/>
          <w:sz w:val="22"/>
        </w:rPr>
      </w:pPr>
      <w:r w:rsidRPr="00E52356">
        <w:rPr>
          <w:rFonts w:ascii="Times New Roman" w:hAnsi="Times New Roman" w:cs="Times New Roman"/>
          <w:sz w:val="22"/>
        </w:rPr>
        <w:t>LEIDER, R. (2014). Our Non-Originalist Right to Bear Arms. Indiana Law Journal, 89(4), 1587–1651. Retrieved from</w:t>
      </w:r>
    </w:p>
    <w:p w:rsidR="00894096" w:rsidRPr="00E52356" w:rsidP="00894096" w14:paraId="69E9ACEA" w14:textId="77777777">
      <w:pPr>
        <w:pStyle w:val="ListParagraph"/>
        <w:rPr>
          <w:rFonts w:ascii="Times New Roman" w:hAnsi="Times New Roman" w:cs="Times New Roman"/>
          <w:sz w:val="22"/>
        </w:rPr>
      </w:pPr>
    </w:p>
    <w:p w:rsidR="00894096" w:rsidRPr="00E52356" w:rsidP="00894096" w14:paraId="2A206CA5" w14:textId="21C33CFD">
      <w:pPr>
        <w:pStyle w:val="ListParagraph"/>
        <w:rPr>
          <w:rFonts w:ascii="Times New Roman" w:hAnsi="Times New Roman" w:cs="Times New Roman"/>
          <w:sz w:val="22"/>
        </w:rPr>
      </w:pPr>
      <w:r w:rsidRPr="00E52356">
        <w:rPr>
          <w:rFonts w:ascii="Times New Roman" w:hAnsi="Times New Roman" w:cs="Times New Roman"/>
          <w:sz w:val="22"/>
        </w:rPr>
        <w:t xml:space="preserve"> </w:t>
      </w:r>
      <w:r>
        <w:fldChar w:fldCharType="begin"/>
      </w:r>
      <w:r>
        <w:instrText xml:space="preserve"> HYPERLINK "http://search.ebscohost.com.proxy-library.ashford.edu/login.aspx?direct=true&amp;db=a9h&amp;AN=96565118&amp;site=eds-live&amp;scope=site" </w:instrText>
      </w:r>
      <w:r>
        <w:fldChar w:fldCharType="separate"/>
      </w:r>
      <w:r w:rsidRPr="00E52356" w:rsidR="00E52356">
        <w:rPr>
          <w:rStyle w:val="Hyperlink"/>
          <w:rFonts w:ascii="Times New Roman" w:hAnsi="Times New Roman" w:cs="Times New Roman"/>
          <w:color w:val="auto"/>
          <w:sz w:val="22"/>
        </w:rPr>
        <w:t>http://search.ebscohost.com.proxy-library.ashford.edu/login.aspx?direct=true&amp;db=a9h&amp;AN=96565118&amp;site=eds-live&amp;scope=site</w:t>
      </w:r>
      <w:r>
        <w:fldChar w:fldCharType="end"/>
      </w:r>
    </w:p>
    <w:p w:rsidR="00E52356" w:rsidRPr="00E52356" w:rsidP="00894096" w14:paraId="071A9F6A" w14:textId="5A077DC4">
      <w:pPr>
        <w:pStyle w:val="ListParagraph"/>
        <w:rPr>
          <w:rFonts w:ascii="Times New Roman" w:hAnsi="Times New Roman" w:cs="Times New Roman"/>
          <w:sz w:val="22"/>
        </w:rPr>
      </w:pPr>
    </w:p>
    <w:p w:rsidR="00E52356" w:rsidRPr="00E52356" w:rsidP="00E52356" w14:paraId="3921E4DE" w14:textId="77777777">
      <w:pPr>
        <w:ind w:left="720"/>
        <w:rPr>
          <w:rFonts w:ascii="Times New Roman" w:hAnsi="Times New Roman" w:cs="Times New Roman"/>
          <w14:shadow w14:blurRad="38100" w14:dist="19050" w14:dir="2700000" w14:sx="100000" w14:sy="100000" w14:kx="0" w14:ky="0" w14:algn="tl">
            <w14:schemeClr w14:val="dk1">
              <w14:alpha w14:val="60000"/>
            </w14:schemeClr>
          </w14:shadow>
          <w14:textOutline>
            <w14:noFill/>
            <w14:round/>
          </w14:textOutline>
        </w:rPr>
      </w:pPr>
      <w:r w:rsidRPr="00E52356">
        <w:rPr>
          <w:rFonts w:ascii="Times New Roman" w:hAnsi="Times New Roman" w:cs="Times New Roman"/>
          <w:i/>
          <w:iCs/>
        </w:rPr>
        <w:t xml:space="preserve">Michaud, Jon (April 19, 2012). </w:t>
      </w:r>
      <w:r>
        <w:fldChar w:fldCharType="begin"/>
      </w:r>
      <w:r>
        <w:instrText xml:space="preserve"> HYPERLINK "http://www.newyorker.com/online/blogs/backissues/2012/04/the-birth-of-the-modern-gun-debate.html" </w:instrText>
      </w:r>
      <w:r>
        <w:fldChar w:fldCharType="separate"/>
      </w:r>
      <w:r w:rsidRPr="00E52356">
        <w:rPr>
          <w:rFonts w:ascii="Times New Roman" w:hAnsi="Times New Roman" w:cs="Times New Roman"/>
          <w:i/>
          <w:iCs/>
          <w:u w:val="single"/>
        </w:rPr>
        <w:t xml:space="preserve">"The Birth </w:t>
      </w:r>
      <w:r w:rsidRPr="00E52356">
        <w:rPr>
          <w:rFonts w:ascii="Times New Roman" w:hAnsi="Times New Roman" w:cs="Times New Roman"/>
          <w:i/>
          <w:iCs/>
          <w:u w:val="single"/>
        </w:rPr>
        <w:t>o</w:t>
      </w:r>
      <w:r w:rsidRPr="00E52356">
        <w:rPr>
          <w:rFonts w:ascii="Times New Roman" w:hAnsi="Times New Roman" w:cs="Times New Roman"/>
          <w:i/>
          <w:iCs/>
          <w:u w:val="single"/>
        </w:rPr>
        <w:t>f the Modern Gun Debate</w:t>
      </w:r>
      <w:r>
        <w:fldChar w:fldCharType="end"/>
      </w:r>
      <w:r w:rsidRPr="00E52356">
        <w:rPr>
          <w:rFonts w:ascii="Times New Roman" w:hAnsi="Times New Roman" w:cs="Times New Roman"/>
          <w:i/>
          <w:iCs/>
        </w:rPr>
        <w:t>." The New Yorker. Condé Nast. Retrieved July 6, 2014
</w:t>
      </w:r>
    </w:p>
    <w:p w:rsidR="00E52356" w:rsidRPr="00E52356" w:rsidP="00E52356" w14:paraId="69F43D20" w14:textId="5447627A">
      <w:pPr>
        <w:ind w:left="720"/>
        <w:rPr>
          <w:rFonts w:ascii="Times New Roman" w:hAnsi="Times New Roman" w:cs="Times New Roman"/>
        </w:rPr>
      </w:pPr>
      <w:r w:rsidRPr="00E52356">
        <w:rPr>
          <w:rFonts w:ascii="Times New Roman" w:hAnsi="Times New Roman" w:cs="Times New Roman"/>
        </w:rPr>
        <w:t>Newhard</w:t>
      </w:r>
      <w:r w:rsidRPr="00E52356">
        <w:rPr>
          <w:rFonts w:ascii="Times New Roman" w:hAnsi="Times New Roman" w:cs="Times New Roman"/>
        </w:rPr>
        <w:t xml:space="preserve">, J. M. (2015, Fall). 'BOOTLEGGERS' AND GUN CONTROL. Regulation, 38, 10-16. Retrieved from </w:t>
      </w:r>
    </w:p>
    <w:p w:rsidR="00E52356" w:rsidRPr="00E52356" w:rsidP="00E52356" w14:paraId="4C8FE1C2" w14:textId="46B5BFBC">
      <w:pPr>
        <w:ind w:firstLine="720"/>
        <w:rPr>
          <w:rFonts w:ascii="Times New Roman" w:hAnsi="Times New Roman" w:cs="Times New Roman"/>
        </w:rPr>
      </w:pPr>
      <w:r>
        <w:fldChar w:fldCharType="begin"/>
      </w:r>
      <w:r>
        <w:instrText xml:space="preserve"> HYPERLINK "https://search-proquest-com.proxy-library.ashford.edu/docview/1721361447?accountid=32521" </w:instrText>
      </w:r>
      <w:r>
        <w:fldChar w:fldCharType="separate"/>
      </w:r>
      <w:r w:rsidRPr="003D0044">
        <w:rPr>
          <w:rStyle w:val="Hyperlink"/>
          <w:rFonts w:ascii="Times New Roman" w:hAnsi="Times New Roman" w:cs="Times New Roman"/>
        </w:rPr>
        <w:t>https://search-proquest-com.proxy-library.ashford.edu/docview/1721361447?accountid=32521</w:t>
      </w:r>
      <w:r>
        <w:fldChar w:fldCharType="end"/>
      </w:r>
    </w:p>
    <w:p w:rsidR="00E52356" w:rsidRPr="00E52356" w:rsidP="00E52356" w14:paraId="4589598D" w14:textId="77777777">
      <w:pPr>
        <w:rPr>
          <w:i/>
          <w:iCs/>
        </w:rPr>
      </w:pPr>
      <w:r>
        <w:fldChar w:fldCharType="begin"/>
      </w:r>
      <w:r>
        <w:instrText xml:space="preserve"> HYPERLINK "https://web.archive.org/web/20140707222435/http:/doddcenter.uconn.edu/asc/research/gun_control.htm" </w:instrText>
      </w:r>
      <w:r>
        <w:fldChar w:fldCharType="separate"/>
      </w:r>
      <w:r w:rsidRPr="00E52356">
        <w:rPr>
          <w:i/>
          <w:iCs/>
          <w:color w:val="0563C1" w:themeColor="hyperlink"/>
          <w:u w:val="single"/>
        </w:rPr>
        <w:t>"Sources for Connecticut's role in the gu</w:t>
      </w:r>
      <w:r w:rsidRPr="00E52356">
        <w:rPr>
          <w:i/>
          <w:iCs/>
          <w:color w:val="0563C1" w:themeColor="hyperlink"/>
          <w:u w:val="single"/>
        </w:rPr>
        <w:t>n</w:t>
      </w:r>
      <w:r w:rsidRPr="00E52356">
        <w:rPr>
          <w:i/>
          <w:iCs/>
          <w:color w:val="0563C1" w:themeColor="hyperlink"/>
          <w:u w:val="single"/>
        </w:rPr>
        <w:t xml:space="preserve"> control debate</w:t>
      </w:r>
      <w:r>
        <w:fldChar w:fldCharType="end"/>
      </w:r>
      <w:r w:rsidRPr="00E52356">
        <w:rPr>
          <w:i/>
          <w:iCs/>
        </w:rPr>
        <w:t xml:space="preserve">." The University of Connecticut. 2014. Archived from </w:t>
      </w:r>
      <w:r>
        <w:fldChar w:fldCharType="begin"/>
      </w:r>
      <w:r>
        <w:instrText xml:space="preserve"> HYPERLINK "http://doddcenter.uconn.edu/asc/research/gun_control.htm" </w:instrText>
      </w:r>
      <w:r>
        <w:fldChar w:fldCharType="separate"/>
      </w:r>
      <w:r w:rsidRPr="00E52356">
        <w:rPr>
          <w:i/>
          <w:iCs/>
          <w:color w:val="0563C1" w:themeColor="hyperlink"/>
          <w:u w:val="single"/>
        </w:rPr>
        <w:t>the origi</w:t>
      </w:r>
      <w:r w:rsidRPr="00E52356">
        <w:rPr>
          <w:i/>
          <w:iCs/>
          <w:color w:val="0563C1" w:themeColor="hyperlink"/>
          <w:u w:val="single"/>
        </w:rPr>
        <w:t>n</w:t>
      </w:r>
      <w:r w:rsidRPr="00E52356">
        <w:rPr>
          <w:i/>
          <w:iCs/>
          <w:color w:val="0563C1" w:themeColor="hyperlink"/>
          <w:u w:val="single"/>
        </w:rPr>
        <w:t>al</w:t>
      </w:r>
      <w:r>
        <w:fldChar w:fldCharType="end"/>
      </w:r>
      <w:r w:rsidRPr="00E52356">
        <w:rPr>
          <w:i/>
          <w:iCs/>
        </w:rPr>
        <w:t xml:space="preserve"> on July 7, 2014. Retrieved July 7, 2014.</w:t>
      </w:r>
    </w:p>
    <w:p w:rsidR="00E52356" w:rsidRPr="00E52356" w:rsidP="00E52356" w14:paraId="413D5049" w14:textId="77777777">
      <w:pPr>
        <w:rPr>
          <w:rFonts w:ascii="Times New Roman" w:eastAsia="Times New Roman" w:hAnsi="Times New Roman" w:cs="Times New Roman"/>
        </w:rPr>
      </w:pPr>
      <w:r w:rsidRPr="00E52356">
        <w:rPr>
          <w:rFonts w:ascii="Times New Roman" w:eastAsia="Times New Roman" w:hAnsi="Times New Roman" w:cs="Times New Roman"/>
        </w:rPr>
        <w:t>https://web.archive.org/web/20140707222435/http:/doddcenter.uconn.edu/asc/research/gun_control.htm</w:t>
      </w:r>
      <w:r w:rsidRPr="00E52356">
        <w:rPr>
          <w:rFonts w:ascii="Times New Roman" w:eastAsia="Times New Roman" w:hAnsi="Times New Roman" w:cs="Times New Roman"/>
        </w:rPr>
        <w:br/>
      </w:r>
    </w:p>
    <w:p w:rsidR="00E52356" w:rsidP="00E52356" w14:paraId="35592413" w14:textId="77777777">
      <w:pPr>
        <w:ind w:hanging="720"/>
        <w:rPr>
          <w:rFonts w:ascii="Times New Roman" w:hAnsi="Times New Roman" w:cs="Times New Roman"/>
        </w:rPr>
      </w:pPr>
    </w:p>
    <w:p w:rsidR="00E52356" w:rsidP="00E52356" w14:paraId="1924FF9B" w14:textId="44CBFE80">
      <w:pPr>
        <w:ind w:hanging="720"/>
        <w:rPr>
          <w:rFonts w:ascii="Times New Roman" w:hAnsi="Times New Roman" w:cs="Times New Roman"/>
        </w:rPr>
      </w:pPr>
    </w:p>
    <w:p w:rsidR="00E52356" w:rsidRPr="00FB39F4" w:rsidP="00E52356" w14:paraId="60EF4B91" w14:textId="77777777">
      <w:pPr>
        <w:ind w:hanging="720"/>
        <w:rPr>
          <w:rFonts w:ascii="Times New Roman" w:hAnsi="Times New Roman" w:cs="Times New Roman"/>
        </w:rPr>
      </w:pPr>
    </w:p>
    <w:p w:rsidR="00E52356" w:rsidRPr="00894096" w:rsidP="00894096" w14:paraId="6C70A975" w14:textId="77777777">
      <w:pPr>
        <w:pStyle w:val="ListParagraph"/>
        <w:rPr>
          <w:rFonts w:ascii="Times New Roman" w:hAnsi="Times New Roman" w:cs="Times New Roman"/>
        </w:rPr>
      </w:pPr>
    </w:p>
    <w:p w:rsidR="00894096" w:rsidRPr="00894096" w:rsidP="00894096" w14:paraId="3AED09B8" w14:textId="77777777">
      <w:pPr>
        <w:tabs>
          <w:tab w:val="left" w:pos="1530"/>
        </w:tabs>
        <w:rPr>
          <w:rFonts w:cs="Arial"/>
          <w:szCs w:val="24"/>
        </w:rPr>
      </w:pPr>
    </w:p>
    <w:p w:rsidR="00202B95" w:rsidRPr="0025081D" w:rsidP="009A3640" w14:paraId="16C6EFEB" w14:textId="553382B5">
      <w:pPr>
        <w:tabs>
          <w:tab w:val="left" w:pos="1530"/>
        </w:tabs>
        <w:rPr>
          <w:rFonts w:ascii="Arial" w:hAnsi="Arial" w:cs="Arial"/>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3D2D8A"/>
    <w:multiLevelType w:val="hybridMultilevel"/>
    <w:tmpl w:val="041E331E"/>
    <w:lvl w:ilvl="0">
      <w:start w:val="1"/>
      <w:numFmt w:val="lowerLetter"/>
      <w:lvlText w:val="%1."/>
      <w:lvlJc w:val="left"/>
      <w:pPr>
        <w:ind w:left="1890" w:hanging="360"/>
      </w:pPr>
      <w:rPr>
        <w:rFonts w:hint="default"/>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1">
    <w:nsid w:val="34B8423A"/>
    <w:multiLevelType w:val="hybridMultilevel"/>
    <w:tmpl w:val="041E331E"/>
    <w:lvl w:ilvl="0">
      <w:start w:val="1"/>
      <w:numFmt w:val="lowerLetter"/>
      <w:lvlText w:val="%1."/>
      <w:lvlJc w:val="left"/>
      <w:pPr>
        <w:ind w:left="1890" w:hanging="360"/>
      </w:pPr>
      <w:rPr>
        <w:rFonts w:hint="default"/>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2">
    <w:nsid w:val="377305FD"/>
    <w:multiLevelType w:val="hybridMultilevel"/>
    <w:tmpl w:val="2EA603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F822CDC"/>
    <w:multiLevelType w:val="hybridMultilevel"/>
    <w:tmpl w:val="A712E156"/>
    <w:lvl w:ilvl="0">
      <w:start w:val="3"/>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7F25B20"/>
    <w:multiLevelType w:val="hybridMultilevel"/>
    <w:tmpl w:val="032AD71E"/>
    <w:lvl w:ilvl="0">
      <w:start w:val="1"/>
      <w:numFmt w:val="decimal"/>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EA4386E"/>
    <w:multiLevelType w:val="hybridMultilevel"/>
    <w:tmpl w:val="041E331E"/>
    <w:lvl w:ilvl="0">
      <w:start w:val="1"/>
      <w:numFmt w:val="lowerLetter"/>
      <w:lvlText w:val="%1."/>
      <w:lvlJc w:val="left"/>
      <w:pPr>
        <w:ind w:left="1890" w:hanging="360"/>
      </w:pPr>
      <w:rPr>
        <w:rFonts w:hint="default"/>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6">
    <w:nsid w:val="51DE7294"/>
    <w:multiLevelType w:val="hybridMultilevel"/>
    <w:tmpl w:val="041E331E"/>
    <w:lvl w:ilvl="0">
      <w:start w:val="1"/>
      <w:numFmt w:val="lowerLetter"/>
      <w:lvlText w:val="%1."/>
      <w:lvlJc w:val="left"/>
      <w:pPr>
        <w:ind w:left="1890" w:hanging="360"/>
      </w:pPr>
      <w:rPr>
        <w:rFonts w:hint="default"/>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7">
    <w:nsid w:val="56676D2C"/>
    <w:multiLevelType w:val="hybridMultilevel"/>
    <w:tmpl w:val="DA14F38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75C3433"/>
    <w:multiLevelType w:val="hybridMultilevel"/>
    <w:tmpl w:val="041E331E"/>
    <w:lvl w:ilvl="0">
      <w:start w:val="1"/>
      <w:numFmt w:val="lowerLetter"/>
      <w:lvlText w:val="%1."/>
      <w:lvlJc w:val="left"/>
      <w:pPr>
        <w:ind w:left="1890" w:hanging="360"/>
      </w:pPr>
      <w:rPr>
        <w:rFonts w:hint="default"/>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9">
    <w:nsid w:val="612D53A5"/>
    <w:multiLevelType w:val="hybridMultilevel"/>
    <w:tmpl w:val="10D2BE4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0122D2"/>
    <w:multiLevelType w:val="hybridMultilevel"/>
    <w:tmpl w:val="D4369EFE"/>
    <w:lvl w:ilvl="0">
      <w:start w:val="1"/>
      <w:numFmt w:val="decimal"/>
      <w:lvlText w:val="%1."/>
      <w:lvlJc w:val="left"/>
      <w:pPr>
        <w:ind w:left="720" w:hanging="360"/>
      </w:pPr>
      <w:rPr>
        <w:rFonts w:ascii="Arial" w:hAnsi="Arial"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4"/>
  </w:num>
  <w:num w:numId="3">
    <w:abstractNumId w:val="1"/>
  </w:num>
  <w:num w:numId="4">
    <w:abstractNumId w:val="0"/>
  </w:num>
  <w:num w:numId="5">
    <w:abstractNumId w:val="8"/>
  </w:num>
  <w:num w:numId="6">
    <w:abstractNumId w:val="2"/>
  </w:num>
  <w:num w:numId="7">
    <w:abstractNumId w:val="3"/>
  </w:num>
  <w:num w:numId="8">
    <w:abstractNumId w:val="6"/>
  </w:num>
  <w:num w:numId="9">
    <w:abstractNumId w:val="5"/>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A3"/>
    <w:rsid w:val="000215B0"/>
    <w:rsid w:val="000707D8"/>
    <w:rsid w:val="000A35F9"/>
    <w:rsid w:val="000A388F"/>
    <w:rsid w:val="001677B5"/>
    <w:rsid w:val="00202B95"/>
    <w:rsid w:val="0025081D"/>
    <w:rsid w:val="003D0044"/>
    <w:rsid w:val="004154C8"/>
    <w:rsid w:val="004202A5"/>
    <w:rsid w:val="00567A11"/>
    <w:rsid w:val="0063731C"/>
    <w:rsid w:val="006459A3"/>
    <w:rsid w:val="006B3396"/>
    <w:rsid w:val="006C023B"/>
    <w:rsid w:val="007875A8"/>
    <w:rsid w:val="007A4906"/>
    <w:rsid w:val="008548BC"/>
    <w:rsid w:val="00894096"/>
    <w:rsid w:val="008D668D"/>
    <w:rsid w:val="008E61DF"/>
    <w:rsid w:val="008F3437"/>
    <w:rsid w:val="00981450"/>
    <w:rsid w:val="00994186"/>
    <w:rsid w:val="009A3640"/>
    <w:rsid w:val="009B6E37"/>
    <w:rsid w:val="009E2F0C"/>
    <w:rsid w:val="00A56F5E"/>
    <w:rsid w:val="00BC07BC"/>
    <w:rsid w:val="00CC157F"/>
    <w:rsid w:val="00D4644E"/>
    <w:rsid w:val="00DD4C03"/>
    <w:rsid w:val="00E146FF"/>
    <w:rsid w:val="00E3371C"/>
    <w:rsid w:val="00E52356"/>
    <w:rsid w:val="00E74532"/>
    <w:rsid w:val="00ED08D6"/>
    <w:rsid w:val="00FB39F4"/>
  </w:rsids>
  <w:docVars>
    <w:docVar w:name="__Grammarly_42___1" w:val="H4sIAAAAAAAEAKtWcslP9kxRslIyNDY0NTIxMLS0NDM2MTAysTBQ0lEKTi0uzszPAykwrgUAywIL0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24C97FB-6EA2-46FD-934B-8198F475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59A3"/>
    <w:rPr>
      <w:sz w:val="16"/>
      <w:szCs w:val="16"/>
    </w:rPr>
  </w:style>
  <w:style w:type="paragraph" w:styleId="ListParagraph">
    <w:name w:val="List Paragraph"/>
    <w:basedOn w:val="Normal"/>
    <w:uiPriority w:val="34"/>
    <w:qFormat/>
    <w:rsid w:val="006459A3"/>
    <w:pPr>
      <w:ind w:left="720"/>
      <w:contextualSpacing/>
    </w:pPr>
    <w:rPr>
      <w:rFonts w:ascii="Arial" w:hAnsi="Arial"/>
      <w:sz w:val="24"/>
    </w:rPr>
  </w:style>
  <w:style w:type="paragraph" w:styleId="CommentText">
    <w:name w:val="annotation text"/>
    <w:basedOn w:val="Normal"/>
    <w:link w:val="CommentTextChar"/>
    <w:uiPriority w:val="99"/>
    <w:semiHidden/>
    <w:unhideWhenUsed/>
    <w:rsid w:val="006459A3"/>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6459A3"/>
    <w:rPr>
      <w:rFonts w:ascii="Arial" w:hAnsi="Arial"/>
      <w:sz w:val="20"/>
      <w:szCs w:val="20"/>
    </w:rPr>
  </w:style>
  <w:style w:type="paragraph" w:styleId="BalloonText">
    <w:name w:val="Balloon Text"/>
    <w:basedOn w:val="Normal"/>
    <w:link w:val="BalloonTextChar"/>
    <w:uiPriority w:val="99"/>
    <w:semiHidden/>
    <w:unhideWhenUsed/>
    <w:rsid w:val="006459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9A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459A3"/>
    <w:rPr>
      <w:rFonts w:asciiTheme="minorHAnsi" w:hAnsiTheme="minorHAnsi"/>
      <w:b/>
      <w:bCs/>
    </w:rPr>
  </w:style>
  <w:style w:type="character" w:customStyle="1" w:styleId="CommentSubjectChar">
    <w:name w:val="Comment Subject Char"/>
    <w:basedOn w:val="CommentTextChar"/>
    <w:link w:val="CommentSubject"/>
    <w:uiPriority w:val="99"/>
    <w:semiHidden/>
    <w:rsid w:val="006459A3"/>
    <w:rPr>
      <w:rFonts w:ascii="Arial" w:hAnsi="Arial"/>
      <w:b/>
      <w:bCs/>
      <w:sz w:val="20"/>
      <w:szCs w:val="20"/>
    </w:rPr>
  </w:style>
  <w:style w:type="character" w:styleId="Hyperlink">
    <w:name w:val="Hyperlink"/>
    <w:uiPriority w:val="99"/>
    <w:rsid w:val="007875A8"/>
    <w:rPr>
      <w:color w:val="0000FF"/>
      <w:u w:val="single"/>
    </w:rPr>
  </w:style>
  <w:style w:type="character" w:styleId="Emphasis">
    <w:name w:val="Emphasis"/>
    <w:basedOn w:val="DefaultParagraphFont"/>
    <w:uiPriority w:val="20"/>
    <w:qFormat/>
    <w:rsid w:val="00E74532"/>
    <w:rPr>
      <w:i/>
      <w:iCs/>
    </w:rPr>
  </w:style>
  <w:style w:type="character" w:customStyle="1" w:styleId="UnresolvedMention">
    <w:name w:val="Unresolved Mention"/>
    <w:basedOn w:val="DefaultParagraphFont"/>
    <w:uiPriority w:val="99"/>
    <w:semiHidden/>
    <w:unhideWhenUsed/>
    <w:rsid w:val="00894096"/>
    <w:rPr>
      <w:color w:val="605E5C"/>
      <w:shd w:val="clear" w:color="auto" w:fill="E1DFDD"/>
    </w:rPr>
  </w:style>
  <w:style w:type="character" w:styleId="HTMLCite">
    <w:name w:val="HTML Cite"/>
    <w:basedOn w:val="DefaultParagraphFont"/>
    <w:uiPriority w:val="99"/>
    <w:semiHidden/>
    <w:unhideWhenUsed/>
    <w:rsid w:val="00E52356"/>
    <w:rPr>
      <w:i/>
      <w:iCs/>
    </w:rPr>
  </w:style>
  <w:style w:type="character" w:customStyle="1" w:styleId="reference-accessdate">
    <w:name w:val="reference-accessdate"/>
    <w:basedOn w:val="DefaultParagraphFont"/>
    <w:rsid w:val="00E52356"/>
  </w:style>
  <w:style w:type="character" w:customStyle="1" w:styleId="nowrap">
    <w:name w:val="nowrap"/>
    <w:basedOn w:val="DefaultParagraphFont"/>
    <w:rsid w:val="00E52356"/>
  </w:style>
  <w:style w:type="character" w:styleId="FollowedHyperlink">
    <w:name w:val="FollowedHyperlink"/>
    <w:basedOn w:val="DefaultParagraphFont"/>
    <w:uiPriority w:val="99"/>
    <w:semiHidden/>
    <w:unhideWhenUsed/>
    <w:rsid w:val="00E523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83322-5D9C-4BC6-AE26-89A982C1D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0C6E89F-CE79-4F94-B579-522F7F6EF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86BD3C-1193-440E-B5C6-557989A99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2884</TotalTime>
  <Pages>5</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Manning, Stacy</dc:creator>
  <cp:lastModifiedBy>Chris Mays</cp:lastModifiedBy>
  <cp:revision>8</cp:revision>
  <dcterms:created xsi:type="dcterms:W3CDTF">2018-10-27T00:13:00Z</dcterms:created>
  <dcterms:modified xsi:type="dcterms:W3CDTF">2018-10-29T00:53:00Z</dcterms:modified>
</cp:coreProperties>
</file>